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29 (Key Supplier Staff) </w:t>
      </w:r>
    </w:p>
    <w:p w:rsidR="00000000" w:rsidDel="00000000" w:rsidP="00000000" w:rsidRDefault="00000000" w:rsidRPr="00000000" w14:paraId="000000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Key Staff fulfil the Key Roles at all times during the Contract Period.</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identify any further roles as being Key Roles and, following agreement to the same by the Supplier, the relevant person selected to fill those Key Roles shall be included on the list of Key Staff.  </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and shall procure that any Subcontractor shall not remove or replace any Key Staff unless: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requested to do so by the Buyer or the Buyer Approves such removal or replacement (not to be unreasonably withheld or delayed);</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concerned resigns, retires or dies or is on maternity or long-term sick leave; or</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employment or contractual arrangement with the Supplier or Subcontractor is terminated for material breach of contract by the employee.</w:t>
      </w:r>
      <w:r w:rsidDel="00000000" w:rsidR="00000000" w:rsidRPr="00000000">
        <w:rPr>
          <w:rtl w:val="0"/>
        </w:rPr>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promptly of the absence of any Key Staff (other than for short-term sickness or holidays of two (2) weeks or less, in which case the Supplier shall ensure appropriate temporary cover for that Key Role); </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any Key Role is not vacant for any longer than ten (10) Working Days;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any replacement for a Key Role has a level of qualifications and experience appropriate to the relevant Key Role and is fully competent to carry out the tasks assigned to the Key Staff whom he or she has replaced.</w:t>
      </w: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0"/>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Key Roles</w:t>
      </w:r>
    </w:p>
    <w:tbl>
      <w:tblPr>
        <w:tblStyle w:val="Table1"/>
        <w:tblW w:w="8908.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34"/>
        <w:gridCol w:w="2797"/>
        <w:gridCol w:w="2777"/>
        <w:tblGridChange w:id="0">
          <w:tblGrid>
            <w:gridCol w:w="3334"/>
            <w:gridCol w:w="2797"/>
            <w:gridCol w:w="2777"/>
          </w:tblGrid>
        </w:tblGridChange>
      </w:tblGrid>
      <w:tr>
        <w:trPr>
          <w:cantSplit w:val="0"/>
          <w:trHeight w:val="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Details</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Managing Director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Account Manager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Contract Manager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r>
  </w:p>
  <w:p w:rsidR="00000000" w:rsidDel="00000000" w:rsidP="00000000" w:rsidRDefault="00000000" w:rsidRPr="00000000" w14:paraId="0000002F">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2B">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29 (Key Supplier Staff)</w:t>
    </w:r>
  </w:p>
  <w:p w:rsidR="00000000" w:rsidDel="00000000" w:rsidP="00000000" w:rsidRDefault="00000000" w:rsidRPr="00000000" w14:paraId="0000002C">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3.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tEARFcU99k83hv9cPxJLfUUdJw==">CgMxLjAyCWlkLmdqZGd4czIJaC4zMGowemxsOAByITFCTFBFV3NKdjVfUWVwUUlrTVZpdnFZS1B0ZjNlaXZyNg==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